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E" w:rsidRPr="007652D4" w:rsidRDefault="00C628BE">
      <w:pPr>
        <w:rPr>
          <w:rFonts w:ascii="Arial" w:hAnsi="Arial" w:cs="Arial"/>
          <w:sz w:val="24"/>
          <w:szCs w:val="24"/>
        </w:rPr>
      </w:pPr>
      <w:r w:rsidRPr="007652D4">
        <w:rPr>
          <w:rFonts w:ascii="Arial" w:hAnsi="Arial" w:cs="Arial"/>
          <w:b/>
          <w:sz w:val="24"/>
          <w:szCs w:val="24"/>
        </w:rPr>
        <w:t>PROJECT NAME</w:t>
      </w:r>
      <w:r w:rsidRPr="00030631">
        <w:rPr>
          <w:rFonts w:ascii="Arial" w:hAnsi="Arial" w:cs="Arial"/>
          <w:sz w:val="24"/>
          <w:szCs w:val="24"/>
        </w:rPr>
        <w:t xml:space="preserve">: </w:t>
      </w:r>
      <w:r w:rsidRPr="007652D4">
        <w:rPr>
          <w:rFonts w:ascii="Arial" w:hAnsi="Arial" w:cs="Arial"/>
          <w:sz w:val="24"/>
          <w:szCs w:val="24"/>
        </w:rPr>
        <w:t>Promoting Inclusive and Progressive Land Governance for Sustainable Livelihood</w:t>
      </w:r>
    </w:p>
    <w:p w:rsidR="00C628BE" w:rsidRDefault="00C628BE" w:rsidP="00030631">
      <w:pPr>
        <w:spacing w:before="20" w:after="40"/>
        <w:jc w:val="both"/>
        <w:rPr>
          <w:rFonts w:ascii="Arial" w:hAnsi="Arial" w:cs="Arial"/>
          <w:iCs/>
          <w:sz w:val="24"/>
          <w:szCs w:val="24"/>
        </w:rPr>
      </w:pPr>
      <w:r w:rsidRPr="007652D4">
        <w:rPr>
          <w:rFonts w:ascii="Arial" w:hAnsi="Arial" w:cs="Arial"/>
          <w:b/>
          <w:sz w:val="24"/>
          <w:szCs w:val="24"/>
        </w:rPr>
        <w:t>PROJECT BRIEF</w:t>
      </w:r>
      <w:r w:rsidRPr="00030631">
        <w:rPr>
          <w:rFonts w:ascii="Arial" w:hAnsi="Arial" w:cs="Arial"/>
          <w:sz w:val="24"/>
          <w:szCs w:val="24"/>
        </w:rPr>
        <w:t xml:space="preserve">: </w:t>
      </w:r>
      <w:r w:rsidR="00030631" w:rsidRPr="00030631">
        <w:rPr>
          <w:rFonts w:ascii="Arial" w:hAnsi="Arial" w:cs="Arial"/>
          <w:sz w:val="24"/>
          <w:szCs w:val="24"/>
        </w:rPr>
        <w:t>CEPA is implementing the “Promoting Inclusive and Progressive Land Governance for Sustainable Livelihoods” project with funding from the Government of Flanders. The project is complementary to the “</w:t>
      </w:r>
      <w:r w:rsidR="00030631" w:rsidRPr="00030631">
        <w:rPr>
          <w:rFonts w:ascii="Arial" w:hAnsi="Arial" w:cs="Arial"/>
          <w:i/>
          <w:iCs/>
          <w:sz w:val="24"/>
          <w:szCs w:val="24"/>
        </w:rPr>
        <w:t xml:space="preserve">Land Use Planning and Sustainable Land and Water Management for Improved Agricultural Productivity in </w:t>
      </w:r>
      <w:proofErr w:type="spellStart"/>
      <w:r w:rsidR="00030631" w:rsidRPr="00030631">
        <w:rPr>
          <w:rFonts w:ascii="Arial" w:hAnsi="Arial" w:cs="Arial"/>
          <w:i/>
          <w:iCs/>
          <w:sz w:val="24"/>
          <w:szCs w:val="24"/>
        </w:rPr>
        <w:t>Kasungu</w:t>
      </w:r>
      <w:proofErr w:type="spellEnd"/>
      <w:r w:rsidR="00030631" w:rsidRPr="00030631">
        <w:rPr>
          <w:rFonts w:ascii="Arial" w:hAnsi="Arial" w:cs="Arial"/>
          <w:i/>
          <w:iCs/>
          <w:sz w:val="24"/>
          <w:szCs w:val="24"/>
        </w:rPr>
        <w:t xml:space="preserve"> and </w:t>
      </w:r>
      <w:proofErr w:type="spellStart"/>
      <w:r w:rsidR="00030631" w:rsidRPr="00030631">
        <w:rPr>
          <w:rFonts w:ascii="Arial" w:hAnsi="Arial" w:cs="Arial"/>
          <w:i/>
          <w:iCs/>
          <w:sz w:val="24"/>
          <w:szCs w:val="24"/>
        </w:rPr>
        <w:t>Mzimba</w:t>
      </w:r>
      <w:proofErr w:type="spellEnd"/>
      <w:r w:rsidR="00030631" w:rsidRPr="00030631">
        <w:rPr>
          <w:rFonts w:ascii="Arial" w:hAnsi="Arial" w:cs="Arial"/>
          <w:i/>
          <w:iCs/>
          <w:sz w:val="24"/>
          <w:szCs w:val="24"/>
        </w:rPr>
        <w:t xml:space="preserve"> Districts” </w:t>
      </w:r>
      <w:r w:rsidR="00030631" w:rsidRPr="00030631">
        <w:rPr>
          <w:rFonts w:ascii="Arial" w:hAnsi="Arial" w:cs="Arial"/>
          <w:sz w:val="24"/>
          <w:szCs w:val="24"/>
        </w:rPr>
        <w:t xml:space="preserve">Project. The project seeks to contribute to </w:t>
      </w:r>
      <w:r w:rsidR="00030631" w:rsidRPr="00030631">
        <w:rPr>
          <w:rFonts w:ascii="Arial" w:hAnsi="Arial" w:cs="Arial"/>
          <w:i/>
          <w:iCs/>
          <w:sz w:val="24"/>
          <w:szCs w:val="24"/>
        </w:rPr>
        <w:t xml:space="preserve">‘Improved resilience of 176,400 male and 183,600 female farmers through sustainable use and management of land resources” </w:t>
      </w:r>
      <w:r w:rsidR="00030631" w:rsidRPr="00030631">
        <w:rPr>
          <w:rFonts w:ascii="Arial" w:hAnsi="Arial" w:cs="Arial"/>
          <w:iCs/>
          <w:sz w:val="24"/>
          <w:szCs w:val="24"/>
        </w:rPr>
        <w:t>by addressing interrelated challenges of limited awareness about the new land laws; contextual diversities and the implications of the new land laws; the influence of cultural differences as they relate to land law reforms and gender, youth and crosscutting issues.</w:t>
      </w:r>
    </w:p>
    <w:p w:rsidR="008960F8" w:rsidRDefault="00030631" w:rsidP="00030631">
      <w:pPr>
        <w:spacing w:before="20" w:after="40"/>
        <w:jc w:val="both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sz w:val="24"/>
          <w:szCs w:val="24"/>
        </w:rPr>
        <w:t xml:space="preserve">The land sector in Malawi is one of the field which has been affected by various challenges as per </w:t>
      </w:r>
      <w:r w:rsidR="007652D4" w:rsidRPr="00030631">
        <w:rPr>
          <w:rFonts w:ascii="Arial" w:hAnsi="Arial" w:cs="Arial"/>
          <w:iCs/>
          <w:lang w:val="en-GB"/>
        </w:rPr>
        <w:t xml:space="preserve">A “Presidential Commission of Inquiry on Land Policy Reform” </w:t>
      </w:r>
      <w:r>
        <w:rPr>
          <w:rFonts w:ascii="Arial" w:hAnsi="Arial" w:cs="Arial"/>
          <w:iCs/>
          <w:lang w:val="en-GB"/>
        </w:rPr>
        <w:t xml:space="preserve">which </w:t>
      </w:r>
      <w:r w:rsidR="007652D4" w:rsidRPr="00030631">
        <w:rPr>
          <w:rFonts w:ascii="Arial" w:hAnsi="Arial" w:cs="Arial"/>
          <w:iCs/>
          <w:lang w:val="en-GB"/>
        </w:rPr>
        <w:t>was set up in 1999 to analyse the reported problems in the Land Sector and make recommendations for action</w:t>
      </w:r>
      <w:r>
        <w:rPr>
          <w:rFonts w:ascii="Arial" w:hAnsi="Arial" w:cs="Arial"/>
          <w:iCs/>
          <w:lang w:val="en-GB"/>
        </w:rPr>
        <w:t xml:space="preserve">. The inquiry </w:t>
      </w:r>
      <w:r w:rsidR="00356B3E">
        <w:rPr>
          <w:rFonts w:ascii="Arial" w:hAnsi="Arial" w:cs="Arial"/>
          <w:iCs/>
          <w:lang w:val="en-GB"/>
        </w:rPr>
        <w:t xml:space="preserve">revealed </w:t>
      </w:r>
      <w:r>
        <w:rPr>
          <w:rFonts w:ascii="Arial" w:hAnsi="Arial" w:cs="Arial"/>
          <w:iCs/>
          <w:lang w:val="en-GB"/>
        </w:rPr>
        <w:t>the following as probl</w:t>
      </w:r>
      <w:r w:rsidR="00941ECC">
        <w:rPr>
          <w:rFonts w:ascii="Arial" w:hAnsi="Arial" w:cs="Arial"/>
          <w:iCs/>
          <w:lang w:val="en-GB"/>
        </w:rPr>
        <w:t>ems that are faced by the Land sector in Malawi which required action;</w:t>
      </w:r>
    </w:p>
    <w:p w:rsidR="008960F8" w:rsidRDefault="008960F8" w:rsidP="00030631">
      <w:pPr>
        <w:spacing w:before="20" w:after="40"/>
        <w:jc w:val="both"/>
        <w:rPr>
          <w:rFonts w:ascii="Arial" w:hAnsi="Arial" w:cs="Arial"/>
          <w:iCs/>
          <w:lang w:val="en-GB"/>
        </w:rPr>
      </w:pP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Inherent insecurity of customary land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 xml:space="preserve">Twisted distribution of land 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High population to land ratio leading to land degradation of natural resources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Poor utilization of leasehold estates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Existence of land scarcity in spite of idle lands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Provocative trespassing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Fraudulent disposal of customary land by traditional chiefs and government officials</w:t>
      </w:r>
    </w:p>
    <w:p w:rsidR="00F10B0A" w:rsidRPr="00941ECC" w:rsidRDefault="007652D4" w:rsidP="00941ECC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Privatizing access to customary land</w:t>
      </w:r>
    </w:p>
    <w:p w:rsidR="008960F8" w:rsidRDefault="007652D4" w:rsidP="008960F8">
      <w:pPr>
        <w:numPr>
          <w:ilvl w:val="1"/>
          <w:numId w:val="3"/>
        </w:num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</w:rPr>
        <w:t>Mismanagement of land development</w:t>
      </w:r>
    </w:p>
    <w:p w:rsidR="008960F8" w:rsidRPr="008960F8" w:rsidRDefault="008960F8" w:rsidP="008960F8">
      <w:pPr>
        <w:spacing w:before="20" w:after="40"/>
        <w:ind w:left="1440"/>
        <w:jc w:val="both"/>
        <w:rPr>
          <w:rFonts w:ascii="Arial" w:hAnsi="Arial" w:cs="Arial"/>
          <w:iCs/>
        </w:rPr>
      </w:pPr>
      <w:bookmarkStart w:id="0" w:name="_GoBack"/>
      <w:bookmarkEnd w:id="0"/>
    </w:p>
    <w:p w:rsidR="00941ECC" w:rsidRPr="00941ECC" w:rsidRDefault="007652D4" w:rsidP="00941ECC">
      <w:pPr>
        <w:spacing w:before="20" w:after="40"/>
        <w:jc w:val="both"/>
        <w:rPr>
          <w:rFonts w:ascii="Arial" w:hAnsi="Arial" w:cs="Arial"/>
          <w:iCs/>
        </w:rPr>
      </w:pPr>
      <w:r w:rsidRPr="00941ECC">
        <w:rPr>
          <w:rFonts w:ascii="Arial" w:hAnsi="Arial" w:cs="Arial"/>
          <w:iCs/>
          <w:lang w:val="en-GB"/>
        </w:rPr>
        <w:t>In 2016, ten land-related laws were enacted including:</w:t>
      </w:r>
      <w:r w:rsidR="00941ECC" w:rsidRPr="00941ECC">
        <w:rPr>
          <w:rFonts w:ascii="Arial" w:hAnsi="Arial" w:cs="Arial"/>
          <w:iCs/>
          <w:lang w:val="en-GB"/>
        </w:rPr>
        <w:t>1. Land Act; and 2. Customary Land Act</w:t>
      </w:r>
      <w:r w:rsidR="00941ECC">
        <w:rPr>
          <w:rFonts w:ascii="Arial" w:hAnsi="Arial" w:cs="Arial"/>
          <w:iCs/>
          <w:lang w:val="en-GB"/>
        </w:rPr>
        <w:t>. In 2022, amendments of the land related laws were passed by the parliament which become effective on 01</w:t>
      </w:r>
      <w:r w:rsidR="00941ECC" w:rsidRPr="00941ECC">
        <w:rPr>
          <w:rFonts w:ascii="Arial" w:hAnsi="Arial" w:cs="Arial"/>
          <w:iCs/>
          <w:vertAlign w:val="superscript"/>
          <w:lang w:val="en-GB"/>
        </w:rPr>
        <w:t>st</w:t>
      </w:r>
      <w:r w:rsidR="00941ECC">
        <w:rPr>
          <w:rFonts w:ascii="Arial" w:hAnsi="Arial" w:cs="Arial"/>
          <w:iCs/>
          <w:lang w:val="en-GB"/>
        </w:rPr>
        <w:t xml:space="preserve"> July, 2022.</w:t>
      </w:r>
      <w:r>
        <w:rPr>
          <w:rFonts w:ascii="Arial" w:hAnsi="Arial" w:cs="Arial"/>
          <w:iCs/>
          <w:lang w:val="en-GB"/>
        </w:rPr>
        <w:t xml:space="preserve"> Hence the “Promoting Inclusive and Progressive Land Governance for Sustainable Livelihood” project, is implementing the efforts of the government of Malawi in raising awareness about the land reforms.</w:t>
      </w:r>
    </w:p>
    <w:p w:rsidR="00941ECC" w:rsidRPr="00941ECC" w:rsidRDefault="00941ECC" w:rsidP="00941ECC">
      <w:pPr>
        <w:spacing w:before="20" w:after="40"/>
        <w:jc w:val="both"/>
        <w:rPr>
          <w:rFonts w:ascii="Arial" w:hAnsi="Arial" w:cs="Arial"/>
          <w:iCs/>
        </w:rPr>
      </w:pPr>
    </w:p>
    <w:p w:rsidR="00941ECC" w:rsidRPr="00030631" w:rsidRDefault="00941ECC" w:rsidP="00030631">
      <w:pPr>
        <w:spacing w:before="20" w:after="40"/>
        <w:jc w:val="both"/>
        <w:rPr>
          <w:rFonts w:ascii="Arial" w:hAnsi="Arial" w:cs="Arial"/>
          <w:iCs/>
        </w:rPr>
      </w:pPr>
    </w:p>
    <w:p w:rsidR="00030631" w:rsidRPr="00030631" w:rsidRDefault="00030631" w:rsidP="00030631">
      <w:pPr>
        <w:spacing w:before="20" w:after="40"/>
        <w:jc w:val="both"/>
        <w:rPr>
          <w:rFonts w:ascii="Arial" w:hAnsi="Arial" w:cs="Arial"/>
          <w:iCs/>
          <w:sz w:val="24"/>
          <w:szCs w:val="24"/>
        </w:rPr>
      </w:pPr>
    </w:p>
    <w:sectPr w:rsidR="00030631" w:rsidRPr="0003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7B65"/>
    <w:multiLevelType w:val="hybridMultilevel"/>
    <w:tmpl w:val="55483050"/>
    <w:lvl w:ilvl="0" w:tplc="E376E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28B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AF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45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CF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07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6A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2FE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E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7FCB"/>
    <w:multiLevelType w:val="hybridMultilevel"/>
    <w:tmpl w:val="E932A26A"/>
    <w:lvl w:ilvl="0" w:tplc="3FFCF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0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C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E7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A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0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87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26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376E2B"/>
    <w:multiLevelType w:val="hybridMultilevel"/>
    <w:tmpl w:val="74B25264"/>
    <w:lvl w:ilvl="0" w:tplc="4D088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4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0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05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0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2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524ED5"/>
    <w:multiLevelType w:val="hybridMultilevel"/>
    <w:tmpl w:val="2FD20798"/>
    <w:lvl w:ilvl="0" w:tplc="95F6A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E1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C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E5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AD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F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E"/>
    <w:rsid w:val="00030631"/>
    <w:rsid w:val="00356B3E"/>
    <w:rsid w:val="007652D4"/>
    <w:rsid w:val="007F091B"/>
    <w:rsid w:val="008960F8"/>
    <w:rsid w:val="00941ECC"/>
    <w:rsid w:val="00C36A8A"/>
    <w:rsid w:val="00C628BE"/>
    <w:rsid w:val="00F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3915"/>
  <w15:chartTrackingRefBased/>
  <w15:docId w15:val="{B1A3BD13-8BCC-4421-9415-811075D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0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2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5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71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9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0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6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John</cp:lastModifiedBy>
  <cp:revision>3</cp:revision>
  <dcterms:created xsi:type="dcterms:W3CDTF">2022-10-28T10:07:00Z</dcterms:created>
  <dcterms:modified xsi:type="dcterms:W3CDTF">2022-11-18T07:31:00Z</dcterms:modified>
</cp:coreProperties>
</file>